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C0323" w14:textId="77777777" w:rsidR="009A6DB7" w:rsidRDefault="007E5295">
      <w:pPr>
        <w:rPr>
          <w:rFonts w:cs="Segoe UI Historic"/>
          <w:color w:val="080809"/>
          <w:sz w:val="32"/>
          <w:szCs w:val="32"/>
          <w:shd w:val="clear" w:color="auto" w:fill="FFFFFF"/>
        </w:rPr>
      </w:pPr>
      <w:r w:rsidRPr="009A6DB7">
        <w:rPr>
          <w:rFonts w:cs="Segoe UI Historic"/>
          <w:color w:val="080809"/>
          <w:sz w:val="32"/>
          <w:szCs w:val="32"/>
          <w:shd w:val="clear" w:color="auto" w:fill="FFFFFF"/>
        </w:rPr>
        <w:t>Vážení spoluob</w:t>
      </w:r>
      <w:r w:rsidRPr="009A6DB7">
        <w:rPr>
          <w:rFonts w:cs="Calibri"/>
          <w:color w:val="080809"/>
          <w:sz w:val="32"/>
          <w:szCs w:val="32"/>
          <w:shd w:val="clear" w:color="auto" w:fill="FFFFFF"/>
        </w:rPr>
        <w:t>č</w:t>
      </w:r>
      <w:r w:rsidRPr="009A6DB7">
        <w:rPr>
          <w:rFonts w:cs="Segoe UI Historic"/>
          <w:color w:val="080809"/>
          <w:sz w:val="32"/>
          <w:szCs w:val="32"/>
          <w:shd w:val="clear" w:color="auto" w:fill="FFFFFF"/>
        </w:rPr>
        <w:t xml:space="preserve">ané! </w:t>
      </w:r>
    </w:p>
    <w:p w14:paraId="2545B5F8" w14:textId="77777777" w:rsidR="009A6DB7" w:rsidRDefault="007E5295">
      <w:pPr>
        <w:rPr>
          <w:rFonts w:cs="Segoe UI Historic"/>
          <w:color w:val="080809"/>
          <w:sz w:val="36"/>
          <w:szCs w:val="36"/>
          <w:shd w:val="clear" w:color="auto" w:fill="FFFFFF"/>
        </w:rPr>
      </w:pPr>
      <w:r w:rsidRPr="009A6DB7">
        <w:rPr>
          <w:rFonts w:cs="Segoe UI Historic"/>
          <w:color w:val="080809"/>
          <w:sz w:val="36"/>
          <w:szCs w:val="36"/>
          <w:shd w:val="clear" w:color="auto" w:fill="FFFFFF"/>
        </w:rPr>
        <w:t>Komise pro životní prost</w:t>
      </w:r>
      <w:r w:rsidRPr="009A6DB7">
        <w:rPr>
          <w:rFonts w:cs="Calibri"/>
          <w:color w:val="080809"/>
          <w:sz w:val="36"/>
          <w:szCs w:val="36"/>
          <w:shd w:val="clear" w:color="auto" w:fill="FFFFFF"/>
        </w:rPr>
        <w:t>ředí u</w:t>
      </w:r>
      <w:r w:rsidRPr="009A6DB7">
        <w:rPr>
          <w:rFonts w:cs="Segoe UI Historic"/>
          <w:color w:val="080809"/>
          <w:sz w:val="36"/>
          <w:szCs w:val="36"/>
          <w:shd w:val="clear" w:color="auto" w:fill="FFFFFF"/>
        </w:rPr>
        <w:t>pozor</w:t>
      </w:r>
      <w:r w:rsidRPr="009A6DB7">
        <w:rPr>
          <w:rFonts w:cs="Calibri"/>
          <w:color w:val="080809"/>
          <w:sz w:val="36"/>
          <w:szCs w:val="36"/>
          <w:shd w:val="clear" w:color="auto" w:fill="FFFFFF"/>
        </w:rPr>
        <w:t>ň</w:t>
      </w:r>
      <w:r w:rsidRPr="009A6DB7">
        <w:rPr>
          <w:rFonts w:cs="Segoe UI Historic"/>
          <w:color w:val="080809"/>
          <w:sz w:val="36"/>
          <w:szCs w:val="36"/>
          <w:shd w:val="clear" w:color="auto" w:fill="FFFFFF"/>
        </w:rPr>
        <w:t xml:space="preserve">uje na to, že </w:t>
      </w:r>
    </w:p>
    <w:p w14:paraId="5735F5D8" w14:textId="75930C24" w:rsidR="00251296" w:rsidRPr="009A6DB7" w:rsidRDefault="007E5295">
      <w:pPr>
        <w:rPr>
          <w:rFonts w:cs="Calibri"/>
          <w:b/>
          <w:bCs/>
          <w:color w:val="080809"/>
          <w:sz w:val="36"/>
          <w:szCs w:val="36"/>
          <w:shd w:val="clear" w:color="auto" w:fill="FFFFFF"/>
        </w:rPr>
      </w:pPr>
      <w:r w:rsidRPr="009A6DB7">
        <w:rPr>
          <w:rFonts w:cs="Segoe UI Historic"/>
          <w:b/>
          <w:bCs/>
          <w:color w:val="080809"/>
          <w:sz w:val="36"/>
          <w:szCs w:val="36"/>
          <w:shd w:val="clear" w:color="auto" w:fill="FFFFFF"/>
        </w:rPr>
        <w:t>od 1.prosince 2025 platí zákonné omezení používání zábavní pyrotechniky ve vymezených zónách. Tyto zóny jsou stanoveny zákonem a pokrývají prakticky celé zastav</w:t>
      </w:r>
      <w:r w:rsidRPr="009A6DB7">
        <w:rPr>
          <w:rFonts w:cs="Calibri"/>
          <w:b/>
          <w:bCs/>
          <w:color w:val="080809"/>
          <w:sz w:val="36"/>
          <w:szCs w:val="36"/>
          <w:shd w:val="clear" w:color="auto" w:fill="FFFFFF"/>
        </w:rPr>
        <w:t>ě</w:t>
      </w:r>
      <w:r w:rsidRPr="009A6DB7">
        <w:rPr>
          <w:rFonts w:cs="Segoe UI Historic"/>
          <w:b/>
          <w:bCs/>
          <w:color w:val="080809"/>
          <w:sz w:val="36"/>
          <w:szCs w:val="36"/>
          <w:shd w:val="clear" w:color="auto" w:fill="FFFFFF"/>
        </w:rPr>
        <w:t xml:space="preserve">né území Strašic. </w:t>
      </w:r>
    </w:p>
    <w:p w14:paraId="64A077E4" w14:textId="54C36CE7" w:rsidR="007E5295" w:rsidRPr="009A6DB7" w:rsidRDefault="007E5295">
      <w:pPr>
        <w:rPr>
          <w:rFonts w:cs="Arial"/>
          <w:color w:val="151515"/>
          <w:sz w:val="32"/>
          <w:szCs w:val="32"/>
          <w:shd w:val="clear" w:color="auto" w:fill="FFFFFF"/>
        </w:rPr>
      </w:pPr>
      <w:r w:rsidRPr="009A6DB7">
        <w:rPr>
          <w:rFonts w:cs="Arial"/>
          <w:color w:val="151515"/>
          <w:sz w:val="32"/>
          <w:szCs w:val="32"/>
          <w:shd w:val="clear" w:color="auto" w:fill="FFFFFF"/>
        </w:rPr>
        <w:t>Mapová aplikace omezení pyrotechniky:</w:t>
      </w:r>
    </w:p>
    <w:p w14:paraId="7370FAC7" w14:textId="6AD7810E" w:rsidR="007E5295" w:rsidRPr="009A6DB7" w:rsidRDefault="007E5295">
      <w:pPr>
        <w:rPr>
          <w:rFonts w:cs="Calibri"/>
          <w:sz w:val="28"/>
          <w:szCs w:val="28"/>
        </w:rPr>
      </w:pPr>
      <w:r w:rsidRPr="009A6DB7">
        <w:rPr>
          <w:rFonts w:cs="Calibri"/>
          <w:sz w:val="28"/>
          <w:szCs w:val="28"/>
        </w:rPr>
        <w:t>Mapa obsahuje zóny, ve kterých je zakázáno zacházet s pyrotechnickými výrobky s výjimkou kategorie F1 podle </w:t>
      </w:r>
      <w:r w:rsidRPr="009A6DB7">
        <w:rPr>
          <w:rFonts w:cs="Calibri"/>
          <w:b/>
          <w:bCs/>
          <w:sz w:val="28"/>
          <w:szCs w:val="28"/>
        </w:rPr>
        <w:t>§ 35b </w:t>
      </w:r>
      <w:hyperlink r:id="rId4" w:tgtFrame="_blank" w:history="1">
        <w:r w:rsidRPr="009A6DB7">
          <w:rPr>
            <w:rStyle w:val="Hypertextovodkaz"/>
            <w:rFonts w:cs="Calibri"/>
            <w:b/>
            <w:bCs/>
            <w:sz w:val="28"/>
            <w:szCs w:val="28"/>
          </w:rPr>
          <w:t>zákona č. 344/2025 Sb.</w:t>
        </w:r>
      </w:hyperlink>
      <w:r w:rsidRPr="009A6DB7">
        <w:rPr>
          <w:rFonts w:cs="Calibri"/>
          <w:sz w:val="28"/>
          <w:szCs w:val="28"/>
        </w:rPr>
        <w:t>, kterým se mění zákon č. 206/2015 Sb., o pyrotechnických výrobcích a zacházení s nimi a o změně některých zákonů (zákon o</w:t>
      </w:r>
      <w:r w:rsidR="00D837DD" w:rsidRPr="009A6DB7">
        <w:rPr>
          <w:rFonts w:cs="Calibri"/>
          <w:sz w:val="28"/>
          <w:szCs w:val="28"/>
        </w:rPr>
        <w:t xml:space="preserve"> </w:t>
      </w:r>
      <w:r w:rsidRPr="009A6DB7">
        <w:rPr>
          <w:rFonts w:cs="Calibri"/>
          <w:sz w:val="28"/>
          <w:szCs w:val="28"/>
        </w:rPr>
        <w:t>pyrotechnice)</w:t>
      </w:r>
      <w:r w:rsidR="00D837DD" w:rsidRPr="009A6DB7">
        <w:rPr>
          <w:rFonts w:cs="Calibri"/>
          <w:sz w:val="28"/>
          <w:szCs w:val="28"/>
        </w:rPr>
        <w:t>.</w:t>
      </w:r>
      <w:r w:rsidRPr="009A6DB7">
        <w:rPr>
          <w:rFonts w:cs="Calibri"/>
          <w:sz w:val="28"/>
          <w:szCs w:val="28"/>
        </w:rPr>
        <w:br/>
        <w:t>Účinnost zón s omezeným používáním pyrotechniky je stanovena od </w:t>
      </w:r>
      <w:r w:rsidR="009A6DB7" w:rsidRPr="009A6DB7">
        <w:rPr>
          <w:rFonts w:cs="Calibri"/>
          <w:b/>
          <w:bCs/>
          <w:sz w:val="28"/>
          <w:szCs w:val="28"/>
        </w:rPr>
        <w:t>0</w:t>
      </w:r>
      <w:r w:rsidRPr="009A6DB7">
        <w:rPr>
          <w:rFonts w:cs="Calibri"/>
          <w:b/>
          <w:bCs/>
          <w:sz w:val="28"/>
          <w:szCs w:val="28"/>
        </w:rPr>
        <w:t>1.12.2025</w:t>
      </w:r>
      <w:r w:rsidRPr="009A6DB7">
        <w:rPr>
          <w:rFonts w:cs="Calibri"/>
          <w:sz w:val="28"/>
          <w:szCs w:val="28"/>
        </w:rPr>
        <w:t>.</w:t>
      </w:r>
    </w:p>
    <w:p w14:paraId="7B9F08DC" w14:textId="02649E80" w:rsidR="00D837DD" w:rsidRPr="009A6DB7" w:rsidRDefault="00D837DD">
      <w:pPr>
        <w:rPr>
          <w:rFonts w:cs="Calibri"/>
          <w:sz w:val="28"/>
          <w:szCs w:val="28"/>
        </w:rPr>
      </w:pPr>
      <w:r w:rsidRPr="009A6DB7">
        <w:rPr>
          <w:rFonts w:cs="Calibri"/>
          <w:sz w:val="28"/>
          <w:szCs w:val="28"/>
        </w:rPr>
        <w:t>Dále je podle </w:t>
      </w:r>
      <w:hyperlink r:id="rId5" w:tgtFrame="_blank" w:history="1">
        <w:r w:rsidRPr="009A6DB7">
          <w:rPr>
            <w:rStyle w:val="Hypertextovodkaz"/>
            <w:rFonts w:cs="Calibri"/>
            <w:sz w:val="28"/>
            <w:szCs w:val="28"/>
          </w:rPr>
          <w:t>zákona č. 114/1992 Sb.</w:t>
        </w:r>
      </w:hyperlink>
      <w:r w:rsidRPr="009A6DB7">
        <w:rPr>
          <w:rFonts w:cs="Calibri"/>
          <w:sz w:val="28"/>
          <w:szCs w:val="28"/>
        </w:rPr>
        <w:t>, o ochraně přírody a krajiny, na celém území CHKO Brdy zakázáno provádět ohňostroje nebo používat zábavní pyrotechniku.</w:t>
      </w:r>
    </w:p>
    <w:p w14:paraId="0C47F6B6" w14:textId="77777777" w:rsidR="00780C69" w:rsidRPr="009A6DB7" w:rsidRDefault="00780C69" w:rsidP="00780C69">
      <w:pPr>
        <w:rPr>
          <w:rFonts w:cs="Calibri"/>
          <w:color w:val="080809"/>
          <w:sz w:val="32"/>
          <w:szCs w:val="32"/>
          <w:shd w:val="clear" w:color="auto" w:fill="FFFFFF"/>
        </w:rPr>
      </w:pPr>
      <w:r w:rsidRPr="009A6DB7">
        <w:rPr>
          <w:rFonts w:cs="Segoe UI Historic"/>
          <w:color w:val="080809"/>
          <w:sz w:val="28"/>
          <w:szCs w:val="28"/>
          <w:shd w:val="clear" w:color="auto" w:fill="FFFFFF"/>
        </w:rPr>
        <w:t>D</w:t>
      </w:r>
      <w:r w:rsidRPr="009A6DB7">
        <w:rPr>
          <w:rFonts w:cs="Calibri"/>
          <w:color w:val="080809"/>
          <w:sz w:val="28"/>
          <w:szCs w:val="28"/>
          <w:shd w:val="clear" w:color="auto" w:fill="FFFFFF"/>
        </w:rPr>
        <w:t>ě</w:t>
      </w:r>
      <w:r w:rsidRPr="009A6DB7">
        <w:rPr>
          <w:rFonts w:cs="Segoe UI Historic"/>
          <w:color w:val="080809"/>
          <w:sz w:val="28"/>
          <w:szCs w:val="28"/>
          <w:shd w:val="clear" w:color="auto" w:fill="FFFFFF"/>
        </w:rPr>
        <w:t>kujeme za pochopení a dodržování tohoto opat</w:t>
      </w:r>
      <w:r w:rsidRPr="009A6DB7">
        <w:rPr>
          <w:rFonts w:cs="Calibri"/>
          <w:color w:val="080809"/>
          <w:sz w:val="28"/>
          <w:szCs w:val="28"/>
          <w:shd w:val="clear" w:color="auto" w:fill="FFFFFF"/>
        </w:rPr>
        <w:t>ření.</w:t>
      </w:r>
    </w:p>
    <w:p w14:paraId="202386B5" w14:textId="77777777" w:rsidR="00780C69" w:rsidRDefault="00780C69">
      <w:pPr>
        <w:rPr>
          <w:rFonts w:ascii="Calibri" w:hAnsi="Calibri" w:cs="Calibri"/>
          <w:sz w:val="24"/>
          <w:szCs w:val="24"/>
        </w:rPr>
      </w:pPr>
    </w:p>
    <w:p w14:paraId="496201C3" w14:textId="1410F93B" w:rsidR="00780C69" w:rsidRPr="00780C69" w:rsidRDefault="00780C69" w:rsidP="00780C69">
      <w:pPr>
        <w:rPr>
          <w:rFonts w:ascii="Calibri" w:hAnsi="Calibri" w:cs="Calibri"/>
          <w:sz w:val="24"/>
          <w:szCs w:val="24"/>
        </w:rPr>
      </w:pPr>
      <w:r w:rsidRPr="00780C69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8D1882C" wp14:editId="73DA33E8">
            <wp:extent cx="5760720" cy="2688590"/>
            <wp:effectExtent l="0" t="0" r="0" b="0"/>
            <wp:docPr id="1545555498" name="Obrázek 1" descr="Obsah obrázku mapa, snímek obrazovky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55498" name="Obrázek 1" descr="Obsah obrázku mapa, snímek obrazovky, červená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9F33" w14:textId="77777777" w:rsidR="00D837DD" w:rsidRPr="007E5295" w:rsidRDefault="00D837DD">
      <w:pPr>
        <w:rPr>
          <w:rFonts w:ascii="Calibri" w:hAnsi="Calibri" w:cs="Calibri"/>
          <w:sz w:val="24"/>
          <w:szCs w:val="24"/>
        </w:rPr>
      </w:pPr>
    </w:p>
    <w:sectPr w:rsidR="00D837DD" w:rsidRPr="007E5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295"/>
    <w:rsid w:val="00251296"/>
    <w:rsid w:val="004955EC"/>
    <w:rsid w:val="00512464"/>
    <w:rsid w:val="00626E6B"/>
    <w:rsid w:val="00724DBC"/>
    <w:rsid w:val="00780C69"/>
    <w:rsid w:val="007E5295"/>
    <w:rsid w:val="009A6DB7"/>
    <w:rsid w:val="00A777DD"/>
    <w:rsid w:val="00B02D7D"/>
    <w:rsid w:val="00D837DD"/>
    <w:rsid w:val="00DC23D4"/>
    <w:rsid w:val="00E60D9B"/>
    <w:rsid w:val="00FE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B4EF5"/>
  <w15:chartTrackingRefBased/>
  <w15:docId w15:val="{0F08A27C-11EB-40ED-B824-419F512E8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E52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E52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E52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E52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52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52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52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52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52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52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E52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E52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E529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529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529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529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529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529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E52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E52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E52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E52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E52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E529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E529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E529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52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529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E5295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7E5295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E52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e-sbirka.cz/sb/1992/114?zalozka=text" TargetMode="External"/><Relationship Id="rId4" Type="http://schemas.openxmlformats.org/officeDocument/2006/relationships/hyperlink" Target="https://www.e-sbirka.cz/sb/2025/344?zalozka=tex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Kantor</dc:creator>
  <cp:keywords/>
  <dc:description/>
  <cp:lastModifiedBy>sekretariat</cp:lastModifiedBy>
  <cp:revision>2</cp:revision>
  <cp:lastPrinted>2025-12-08T14:53:00Z</cp:lastPrinted>
  <dcterms:created xsi:type="dcterms:W3CDTF">2025-12-08T14:54:00Z</dcterms:created>
  <dcterms:modified xsi:type="dcterms:W3CDTF">2025-12-08T14:54:00Z</dcterms:modified>
</cp:coreProperties>
</file>